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Lines="0" w:line="46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附表</w:t>
      </w:r>
      <w:r>
        <w:rPr>
          <w:rFonts w:hint="default" w:ascii="Times New Roman" w:hAnsi="Times New Roman" w:eastAsia="宋体" w:cs="Times New Roman"/>
          <w:spacing w:val="-1"/>
          <w:sz w:val="24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  </w:t>
      </w:r>
      <w:r>
        <w:rPr>
          <w:rFonts w:hint="default" w:ascii="Times New Roman" w:hAnsi="Times New Roman" w:eastAsia="宋体" w:cs="Times New Roman"/>
          <w:spacing w:val="58"/>
          <w:sz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</w:rPr>
        <w:t>工程“三同时”生态环境保护设施和对策措施一览表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5"/>
        <w:gridCol w:w="1124"/>
        <w:gridCol w:w="2400"/>
        <w:gridCol w:w="2634"/>
        <w:gridCol w:w="10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类别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污染源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治理措施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拟达到的要求</w:t>
            </w:r>
          </w:p>
        </w:tc>
        <w:tc>
          <w:tcPr>
            <w:tcW w:w="1093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完成</w:t>
            </w:r>
          </w:p>
          <w:p>
            <w:pPr>
              <w:pStyle w:val="6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施工期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水环境保护措施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ind w:firstLine="0" w:firstLineChars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施工人员生活污水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ind w:firstLine="0" w:firstLineChars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营地</w:t>
            </w:r>
            <w:r>
              <w:rPr>
                <w:rFonts w:hint="default" w:ascii="Times New Roman" w:hAnsi="Times New Roman" w:cs="Times New Roman"/>
                <w:color w:val="auto"/>
              </w:rPr>
              <w:t>设置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环保型流动厕所</w:t>
            </w:r>
            <w:r>
              <w:rPr>
                <w:rFonts w:hint="default" w:ascii="Times New Roman" w:hAnsi="Times New Roman" w:cs="Times New Roman"/>
                <w:color w:val="auto"/>
              </w:rPr>
              <w:t>，拟用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吸粪车</w:t>
            </w:r>
            <w:r>
              <w:rPr>
                <w:rFonts w:hint="default" w:ascii="Times New Roman" w:hAnsi="Times New Roman" w:cs="Times New Roman"/>
                <w:color w:val="auto"/>
              </w:rPr>
              <w:t>定期清运至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集中污水处理设施处理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ind w:firstLine="0" w:firstLineChars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与主体工程同时设计、同时施工、同时投入生产和使用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施工船舶含油污水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收集后交由有资质的单位接收处理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《船舶水污染物排放控制标准》（GB3552-2018）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疏浚、桩基施工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悬浮泥沙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缩短施工时间、采用GPS与常规定位技术相结合的施工方法、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控制施工范围、分段分层施工、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尽量安排在退潮期进行施工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大气环境保护措施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施工车辆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燃油排放的尾气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加强管理，采用符合标准的低含硫燃料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《非道路柴油移动机械排气烟度限值及测量方法》（GB36886-2018）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施工船舶废气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选择合格的施工船舶，使用清洁燃料油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《交通运输部关于印发船舶大气污染物排放控制区实施方案的通知》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施工扬尘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洒水抑尘、建筑材料遮盖、使用商品混凝土等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《大气污染物综合排放标准》（GB16297-1996）中无组织排放监控浓度限值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声环境保护措施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船舶、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机械噪声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选用低噪声打桩机、选用低噪声或带有隔音消音的机械设备、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合理安排施工时间，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加强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施工船舶、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车辆的管理等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Cs w:val="21"/>
              </w:rPr>
              <w:t>《建筑施工场界环境噪声排放标准》（GB12523-2011）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固废处置措施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施工生活垃圾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分类收集与暂存，交环卫部门处理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疏浚土、钻渣泥浆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运至指定区域处置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施工船舶垃圾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收集后交有资质的单位处理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生态环境保护措施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施工期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尽量避开鱼类的产卵期和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保护期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；本项目造成的海洋生态损失总赔偿额为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74.83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万元，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积极配合主管部门采取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增殖放流等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可行的生态补偿措施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开展生态环境跟踪监测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通过生态补偿，对海洋生物资源的损害进行补偿，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减缓对海洋生态破坏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风险防范措施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船舶溢油风险等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配备溢油应急设备，配备必要的导助航等，</w:t>
            </w:r>
            <w:r>
              <w:rPr>
                <w:rFonts w:hint="default" w:ascii="Times New Roman" w:hAnsi="Times New Roman" w:cs="Times New Roman"/>
                <w:color w:val="auto"/>
              </w:rPr>
              <w:t>建立健全管理机制，制定施工水域污染事故应急预案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项目风险防范措施；风险事故应急预案，确保事故发生时影响降到最低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环境管理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环保人员负责环境管理，落实环境监测计划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施工期环境监测、监理报告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营运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期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水环境保护措施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码头生活污水、初期雨水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生活污水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陆域污水处理站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处理后，通过污水管网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排入市政污水管网，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最后送至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岩东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污水处理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厂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与主体工程同时设计、同时施工、同时投入生产和使用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船舶废水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ind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收集后交由有资质的单位接收处理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ind w:firstLine="0" w:firstLineChars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《船舶水污染物排放控制标准》（GB3552-2018）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大气环境保护措施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船舶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尾气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装卸废气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设置岸电设施、加强管理、使用清洁燃料油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船舶发动机排气污染物排放限值及测量方法（中国第一、二阶段）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》（GB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15097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6）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声环境保护措施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装卸噪声、船舶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噪声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选用低噪声装卸设备、加强设备保养、减少船舶鸣笛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《工业企业厂界环境噪声排放标准》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GB12348-2008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3类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固废处置措施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船舶固废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收集后交有资质的单位处理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码头生活垃圾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码头设置垃圾桶，集中分类收集，由环卫部门统一清运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——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风险防范措施</w:t>
            </w:r>
          </w:p>
        </w:tc>
        <w:tc>
          <w:tcPr>
            <w:tcW w:w="112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船舶溢油风险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危险品泄漏风险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等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健全管理机构、管理制度并配备专管人员，</w:t>
            </w:r>
          </w:p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落实各项管理制度；提高风险应急处理能力，配备必要的应急设备，定期开展应急演练</w:t>
            </w:r>
          </w:p>
        </w:tc>
        <w:tc>
          <w:tcPr>
            <w:tcW w:w="2634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项目风险防范措施；风险事故应急预案，确保事故发生时影响降到最低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9F4B"/>
    <w:multiLevelType w:val="singleLevel"/>
    <w:tmpl w:val="23039F4B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24C31"/>
    <w:rsid w:val="6792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="141" w:beforeLines="0" w:afterLines="0"/>
    </w:pPr>
    <w:rPr>
      <w:rFonts w:hint="eastAsia" w:ascii="黑体" w:hAnsi="黑体" w:eastAsia="黑体"/>
      <w:sz w:val="24"/>
    </w:rPr>
  </w:style>
  <w:style w:type="paragraph" w:styleId="3">
    <w:name w:val="List Bullet 5"/>
    <w:basedOn w:val="1"/>
    <w:uiPriority w:val="0"/>
    <w:pPr>
      <w:numPr>
        <w:ilvl w:val="0"/>
        <w:numId w:val="1"/>
      </w:numPr>
    </w:pPr>
  </w:style>
  <w:style w:type="paragraph" w:customStyle="1" w:styleId="6">
    <w:name w:val="表格样式"/>
    <w:basedOn w:val="1"/>
    <w:qFormat/>
    <w:uiPriority w:val="0"/>
    <w:pPr>
      <w:widowControl w:val="0"/>
      <w:spacing w:line="240" w:lineRule="auto"/>
      <w:ind w:firstLine="0"/>
      <w:jc w:val="center"/>
    </w:pPr>
    <w:rPr>
      <w:sz w:val="21"/>
      <w:szCs w:val="20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2025-09-11T02:43:00Z</dcterms:created>
  <dc:creator>煮竹2䪽</dc:creator>
  <cp:lastModifiedBy>煮竹2䪽</cp:lastModifiedBy>
  <dcterms:modified xsi:type="dcterms:W3CDTF">2025-09-11T02:44:19Z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